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spacing w:after="0"/>
      </w:pPr>
      <w:r>
        <w:rPr>
          <w:rFonts w:ascii="Times New Roman" w:hAnsi="Times New Roman"/>
          <w:b w:val="1"/>
          <w:bCs w:val="1"/>
          <w:sz w:val="24"/>
          <w:szCs w:val="24"/>
          <w:u w:val="single"/>
          <w:rtl w:val="0"/>
          <w:lang w:val="en-US"/>
        </w:rPr>
        <w:t>68A-6.001 Captive Wildlife Definitions</w:t>
      </w:r>
    </w:p>
    <w:p>
      <w:pPr>
        <w:pStyle w:val="Body"/>
        <w:spacing w:after="0"/>
      </w:pPr>
      <w:r>
        <w:rPr>
          <w:rFonts w:ascii="Times New Roman" w:hAnsi="Times New Roman"/>
          <w:sz w:val="24"/>
          <w:szCs w:val="24"/>
          <w:u w:val="single"/>
          <w:rtl w:val="0"/>
          <w:lang w:val="en-US"/>
        </w:rPr>
        <w:t>The following definitions are for the purpose of carrying out the provisions of the rules of the Fish and Wildlife Conservation Commission relating to the possession of wildlife in captivity, in accordance with Section 68A-6, F.A.C. As used herein, the singular includes the plural. The following shall be construed respectively to mean:</w:t>
      </w:r>
    </w:p>
    <w:p>
      <w:pPr>
        <w:pStyle w:val="List Paragraph"/>
        <w:numPr>
          <w:ilvl w:val="0"/>
          <w:numId w:val="2"/>
        </w:numPr>
        <w:bidi w:val="0"/>
        <w:spacing w:after="0"/>
        <w:ind w:right="0"/>
        <w:jc w:val="left"/>
        <w:rPr>
          <w:rFonts w:ascii="Times New Roman" w:hAnsi="Times New Roman"/>
          <w:sz w:val="24"/>
          <w:szCs w:val="24"/>
          <w:rtl w:val="0"/>
          <w:lang w:val="en-US"/>
        </w:rPr>
      </w:pPr>
      <w:r>
        <w:rPr>
          <w:rFonts w:ascii="Times New Roman" w:hAnsi="Times New Roman"/>
          <w:sz w:val="24"/>
          <w:szCs w:val="24"/>
          <w:u w:val="single"/>
          <w:rtl w:val="0"/>
          <w:lang w:val="en-US"/>
        </w:rPr>
        <w:t xml:space="preserve">Commercial use </w:t>
      </w:r>
      <w:r>
        <w:rPr>
          <w:rFonts w:ascii="Times New Roman" w:hAnsi="Times New Roman" w:hint="default"/>
          <w:sz w:val="24"/>
          <w:szCs w:val="24"/>
          <w:u w:val="single"/>
          <w:rtl w:val="0"/>
          <w:lang w:val="en-US"/>
        </w:rPr>
        <w:t>–</w:t>
      </w:r>
      <w:r>
        <w:rPr>
          <w:rFonts w:ascii="Times New Roman" w:hAnsi="Times New Roman"/>
          <w:sz w:val="24"/>
          <w:szCs w:val="24"/>
          <w:u w:val="single"/>
          <w:rtl w:val="0"/>
          <w:lang w:val="en-US"/>
        </w:rPr>
        <w:t>activity in the form of exhibition or sale.</w:t>
      </w:r>
    </w:p>
    <w:p>
      <w:pPr>
        <w:pStyle w:val="List Paragraph"/>
        <w:numPr>
          <w:ilvl w:val="0"/>
          <w:numId w:val="2"/>
        </w:numPr>
        <w:bidi w:val="0"/>
        <w:spacing w:after="0"/>
        <w:ind w:right="0"/>
        <w:jc w:val="left"/>
        <w:rPr>
          <w:rFonts w:ascii="Times New Roman" w:hAnsi="Times New Roman"/>
          <w:sz w:val="24"/>
          <w:szCs w:val="24"/>
          <w:rtl w:val="0"/>
          <w:lang w:val="en-US"/>
        </w:rPr>
      </w:pPr>
      <w:r>
        <w:rPr>
          <w:rFonts w:ascii="Times New Roman" w:hAnsi="Times New Roman"/>
          <w:sz w:val="24"/>
          <w:szCs w:val="24"/>
          <w:u w:val="single"/>
          <w:rtl w:val="0"/>
          <w:lang w:val="en-US"/>
        </w:rPr>
        <w:t xml:space="preserve">Direct supervision </w:t>
      </w:r>
      <w:r>
        <w:rPr>
          <w:rFonts w:ascii="Times New Roman" w:hAnsi="Times New Roman" w:hint="default"/>
          <w:sz w:val="24"/>
          <w:szCs w:val="24"/>
          <w:u w:val="single"/>
          <w:rtl w:val="0"/>
          <w:lang w:val="en-US"/>
        </w:rPr>
        <w:t>–</w:t>
      </w:r>
      <w:r>
        <w:rPr>
          <w:rFonts w:ascii="Times New Roman" w:hAnsi="Times New Roman"/>
          <w:sz w:val="24"/>
          <w:szCs w:val="24"/>
          <w:u w:val="single"/>
          <w:rtl w:val="0"/>
          <w:lang w:val="en-US"/>
        </w:rPr>
        <w:t>the act of being immediately present and watching and directing the activities of another.</w:t>
      </w:r>
    </w:p>
    <w:p>
      <w:pPr>
        <w:pStyle w:val="List Paragraph"/>
        <w:numPr>
          <w:ilvl w:val="0"/>
          <w:numId w:val="2"/>
        </w:numPr>
        <w:bidi w:val="0"/>
        <w:spacing w:after="0"/>
        <w:ind w:right="0"/>
        <w:jc w:val="left"/>
        <w:rPr>
          <w:rFonts w:ascii="Times New Roman" w:hAnsi="Times New Roman"/>
          <w:sz w:val="24"/>
          <w:szCs w:val="24"/>
          <w:rtl w:val="0"/>
          <w:lang w:val="en-US"/>
        </w:rPr>
      </w:pPr>
      <w:r>
        <w:rPr>
          <w:rFonts w:ascii="Times New Roman" w:hAnsi="Times New Roman"/>
          <w:sz w:val="24"/>
          <w:szCs w:val="24"/>
          <w:u w:val="single"/>
          <w:rtl w:val="0"/>
          <w:lang w:val="en-US"/>
        </w:rPr>
        <w:t xml:space="preserve">Employee </w:t>
      </w:r>
      <w:r>
        <w:rPr>
          <w:rFonts w:ascii="Times New Roman" w:hAnsi="Times New Roman" w:hint="default"/>
          <w:sz w:val="24"/>
          <w:szCs w:val="24"/>
          <w:u w:val="single"/>
          <w:rtl w:val="0"/>
          <w:lang w:val="en-US"/>
        </w:rPr>
        <w:t xml:space="preserve">– </w:t>
      </w:r>
      <w:r>
        <w:rPr>
          <w:rFonts w:ascii="Times New Roman" w:hAnsi="Times New Roman"/>
          <w:sz w:val="24"/>
          <w:szCs w:val="24"/>
          <w:u w:val="single"/>
          <w:rtl w:val="0"/>
          <w:lang w:val="en-US"/>
        </w:rPr>
        <w:t>anyone who works under the guidance of a permit or license holder including paid qualified employees, volunteers, interns, or students that are 18 years of age or older.</w:t>
      </w:r>
    </w:p>
    <w:p>
      <w:pPr>
        <w:pStyle w:val="List Paragraph"/>
        <w:numPr>
          <w:ilvl w:val="0"/>
          <w:numId w:val="2"/>
        </w:numPr>
        <w:bidi w:val="0"/>
        <w:spacing w:after="0"/>
        <w:ind w:right="0"/>
        <w:jc w:val="left"/>
        <w:rPr>
          <w:rFonts w:ascii="Times New Roman" w:hAnsi="Times New Roman"/>
          <w:sz w:val="24"/>
          <w:szCs w:val="24"/>
          <w:rtl w:val="0"/>
          <w:lang w:val="en-US"/>
        </w:rPr>
      </w:pPr>
      <w:r>
        <w:rPr>
          <w:rFonts w:ascii="Times New Roman" w:hAnsi="Times New Roman"/>
          <w:sz w:val="24"/>
          <w:szCs w:val="24"/>
          <w:u w:val="single"/>
          <w:rtl w:val="0"/>
          <w:lang w:val="en-US"/>
        </w:rPr>
        <w:t xml:space="preserve">Escape-proof </w:t>
      </w:r>
      <w:r>
        <w:rPr>
          <w:rFonts w:ascii="Times New Roman" w:hAnsi="Times New Roman" w:hint="default"/>
          <w:sz w:val="24"/>
          <w:szCs w:val="24"/>
          <w:u w:val="single"/>
          <w:rtl w:val="0"/>
          <w:lang w:val="en-US"/>
        </w:rPr>
        <w:t xml:space="preserve">– </w:t>
      </w:r>
      <w:r>
        <w:rPr>
          <w:rFonts w:ascii="Times New Roman" w:hAnsi="Times New Roman"/>
          <w:sz w:val="24"/>
          <w:szCs w:val="24"/>
          <w:u w:val="single"/>
          <w:rtl w:val="0"/>
          <w:lang w:val="en-US"/>
        </w:rPr>
        <w:t>all potential escape routes, to include but not limited to windows, vents, gaps, cracks and doors, are secured in a manner to prevent escapes.</w:t>
      </w:r>
    </w:p>
    <w:p>
      <w:pPr>
        <w:pStyle w:val="List Paragraph"/>
        <w:numPr>
          <w:ilvl w:val="0"/>
          <w:numId w:val="2"/>
        </w:numPr>
        <w:bidi w:val="0"/>
        <w:spacing w:after="0"/>
        <w:ind w:right="0"/>
        <w:jc w:val="left"/>
        <w:rPr>
          <w:rFonts w:ascii="Times New Roman" w:hAnsi="Times New Roman"/>
          <w:sz w:val="24"/>
          <w:szCs w:val="24"/>
          <w:rtl w:val="0"/>
          <w:lang w:val="en-US"/>
        </w:rPr>
      </w:pPr>
      <w:r>
        <w:rPr>
          <w:rFonts w:ascii="Times New Roman" w:hAnsi="Times New Roman"/>
          <w:sz w:val="24"/>
          <w:szCs w:val="24"/>
          <w:u w:val="single"/>
          <w:rtl w:val="0"/>
          <w:lang w:val="en-US"/>
        </w:rPr>
        <w:t xml:space="preserve">Exhibition </w:t>
      </w:r>
      <w:r>
        <w:rPr>
          <w:rFonts w:ascii="Times New Roman" w:hAnsi="Times New Roman" w:hint="default"/>
          <w:sz w:val="24"/>
          <w:szCs w:val="24"/>
          <w:u w:val="single"/>
          <w:rtl w:val="0"/>
          <w:lang w:val="en-US"/>
        </w:rPr>
        <w:t xml:space="preserve">– </w:t>
      </w:r>
      <w:r>
        <w:rPr>
          <w:rFonts w:ascii="Times New Roman" w:hAnsi="Times New Roman"/>
          <w:sz w:val="24"/>
          <w:szCs w:val="24"/>
          <w:u w:val="single"/>
          <w:rtl w:val="0"/>
          <w:lang w:val="en-US"/>
        </w:rPr>
        <w:t>instances in which the general public may view captive wildlife with or without charge, not including videos, photographs, or other forms of remote viewing.</w:t>
      </w:r>
    </w:p>
    <w:p>
      <w:pPr>
        <w:pStyle w:val="List Paragraph"/>
        <w:numPr>
          <w:ilvl w:val="0"/>
          <w:numId w:val="2"/>
        </w:numPr>
        <w:bidi w:val="0"/>
        <w:ind w:right="0"/>
        <w:jc w:val="left"/>
        <w:rPr>
          <w:rFonts w:ascii="Times New Roman" w:hAnsi="Times New Roman"/>
          <w:sz w:val="24"/>
          <w:szCs w:val="24"/>
          <w:rtl w:val="0"/>
          <w:lang w:val="en-US"/>
        </w:rPr>
      </w:pPr>
      <w:r>
        <w:rPr>
          <w:rFonts w:ascii="Times New Roman" w:hAnsi="Times New Roman"/>
          <w:sz w:val="24"/>
          <w:szCs w:val="24"/>
          <w:u w:val="single"/>
          <w:rtl w:val="0"/>
          <w:lang w:val="en-US"/>
        </w:rPr>
        <w:t xml:space="preserve">Free-handling </w:t>
      </w:r>
      <w:r>
        <w:rPr>
          <w:rFonts w:ascii="Times New Roman" w:hAnsi="Times New Roman" w:hint="default"/>
          <w:sz w:val="24"/>
          <w:szCs w:val="24"/>
          <w:u w:val="single"/>
          <w:rtl w:val="0"/>
          <w:lang w:val="en-US"/>
        </w:rPr>
        <w:t xml:space="preserve">– </w:t>
      </w:r>
      <w:r>
        <w:rPr>
          <w:rFonts w:ascii="Times New Roman" w:hAnsi="Times New Roman"/>
          <w:sz w:val="24"/>
          <w:szCs w:val="24"/>
          <w:u w:val="single"/>
          <w:rtl w:val="0"/>
          <w:lang w:val="en-US"/>
        </w:rPr>
        <w:t>the act of physical contact with venomous reptiles without the use of hooks, tongs, tools, specialized gloves, or other standard handling equipment.</w:t>
      </w:r>
    </w:p>
    <w:p>
      <w:pPr>
        <w:pStyle w:val="List Paragraph"/>
        <w:numPr>
          <w:ilvl w:val="0"/>
          <w:numId w:val="2"/>
        </w:numPr>
        <w:bidi w:val="0"/>
        <w:ind w:right="0"/>
        <w:jc w:val="left"/>
        <w:rPr>
          <w:rFonts w:ascii="Times New Roman" w:hAnsi="Times New Roman"/>
          <w:sz w:val="24"/>
          <w:szCs w:val="24"/>
          <w:rtl w:val="0"/>
          <w:lang w:val="en-US"/>
        </w:rPr>
      </w:pPr>
      <w:r>
        <w:rPr>
          <w:rFonts w:ascii="Times New Roman" w:hAnsi="Times New Roman"/>
          <w:sz w:val="24"/>
          <w:szCs w:val="24"/>
          <w:u w:val="single"/>
          <w:rtl w:val="0"/>
          <w:lang w:val="en-US"/>
        </w:rPr>
        <w:t xml:space="preserve">General public </w:t>
      </w:r>
      <w:r>
        <w:rPr>
          <w:rFonts w:ascii="Times New Roman" w:hAnsi="Times New Roman" w:hint="default"/>
          <w:sz w:val="24"/>
          <w:szCs w:val="24"/>
          <w:u w:val="single"/>
          <w:rtl w:val="0"/>
          <w:lang w:val="en-US"/>
        </w:rPr>
        <w:t xml:space="preserve">– </w:t>
      </w:r>
      <w:r>
        <w:rPr>
          <w:rFonts w:ascii="Times New Roman" w:hAnsi="Times New Roman"/>
          <w:sz w:val="24"/>
          <w:szCs w:val="24"/>
          <w:u w:val="single"/>
          <w:rtl w:val="0"/>
          <w:lang w:val="en-US"/>
        </w:rPr>
        <w:t>any persons who are not an employee, relative, or individual who lives with the person exhibiting or selling captive wildlife, to include the community at large.</w:t>
      </w:r>
    </w:p>
    <w:p>
      <w:pPr>
        <w:pStyle w:val="List Paragraph"/>
        <w:numPr>
          <w:ilvl w:val="0"/>
          <w:numId w:val="2"/>
        </w:numPr>
        <w:bidi w:val="0"/>
        <w:ind w:right="0"/>
        <w:jc w:val="left"/>
        <w:rPr>
          <w:rFonts w:ascii="Times New Roman" w:hAnsi="Times New Roman"/>
          <w:sz w:val="24"/>
          <w:szCs w:val="24"/>
          <w:rtl w:val="0"/>
          <w:lang w:val="en-US"/>
        </w:rPr>
      </w:pPr>
      <w:r>
        <w:rPr>
          <w:rFonts w:ascii="Times New Roman" w:hAnsi="Times New Roman"/>
          <w:sz w:val="24"/>
          <w:szCs w:val="24"/>
          <w:u w:val="single"/>
          <w:rtl w:val="0"/>
          <w:lang w:val="en-US"/>
        </w:rPr>
        <w:t>Handling - the act of physical contact with venomous reptiles with the use of hooks, tongs, tools, specialized gloves, or other standard handling equipment.</w:t>
      </w:r>
    </w:p>
    <w:p>
      <w:pPr>
        <w:pStyle w:val="List Paragraph"/>
        <w:numPr>
          <w:ilvl w:val="0"/>
          <w:numId w:val="2"/>
        </w:numPr>
        <w:bidi w:val="0"/>
        <w:spacing w:after="0"/>
        <w:ind w:right="0"/>
        <w:jc w:val="left"/>
        <w:rPr>
          <w:rFonts w:ascii="Times New Roman" w:hAnsi="Times New Roman"/>
          <w:sz w:val="24"/>
          <w:szCs w:val="24"/>
          <w:rtl w:val="0"/>
          <w:lang w:val="en-US"/>
        </w:rPr>
      </w:pPr>
      <w:r>
        <w:rPr>
          <w:rFonts w:ascii="Times New Roman" w:hAnsi="Times New Roman"/>
          <w:sz w:val="24"/>
          <w:szCs w:val="24"/>
          <w:u w:val="single"/>
          <w:rtl w:val="0"/>
          <w:lang w:val="en-US"/>
        </w:rPr>
        <w:t xml:space="preserve">Lock(ed) </w:t>
      </w:r>
      <w:r>
        <w:rPr>
          <w:rFonts w:ascii="Times New Roman" w:hAnsi="Times New Roman" w:hint="default"/>
          <w:sz w:val="24"/>
          <w:szCs w:val="24"/>
          <w:u w:val="single"/>
          <w:rtl w:val="0"/>
          <w:lang w:val="en-US"/>
        </w:rPr>
        <w:t xml:space="preserve">– </w:t>
      </w:r>
      <w:r>
        <w:rPr>
          <w:rFonts w:ascii="Times New Roman" w:hAnsi="Times New Roman"/>
          <w:sz w:val="24"/>
          <w:szCs w:val="24"/>
          <w:u w:val="single"/>
          <w:rtl w:val="0"/>
          <w:lang w:val="en-US"/>
        </w:rPr>
        <w:t>a device operated by a key, combination, key card or other locking device approved by the Commission to prevent unauthorized intrusion and makes the cage, room, or outbuilding inaccessible to unauthorized personnel.</w:t>
      </w:r>
    </w:p>
    <w:p>
      <w:pPr>
        <w:pStyle w:val="List Paragraph"/>
        <w:numPr>
          <w:ilvl w:val="0"/>
          <w:numId w:val="2"/>
        </w:numPr>
        <w:bidi w:val="0"/>
        <w:spacing w:after="0"/>
        <w:ind w:right="0"/>
        <w:jc w:val="left"/>
        <w:rPr>
          <w:rFonts w:ascii="Times New Roman" w:hAnsi="Times New Roman"/>
          <w:sz w:val="24"/>
          <w:szCs w:val="24"/>
          <w:rtl w:val="0"/>
          <w:lang w:val="en-US"/>
        </w:rPr>
      </w:pPr>
      <w:r>
        <w:rPr>
          <w:rFonts w:ascii="Times New Roman" w:hAnsi="Times New Roman"/>
          <w:sz w:val="24"/>
          <w:szCs w:val="24"/>
          <w:u w:val="single"/>
          <w:rtl w:val="0"/>
          <w:lang w:val="en-US"/>
        </w:rPr>
        <w:t xml:space="preserve">Native </w:t>
      </w:r>
      <w:r>
        <w:rPr>
          <w:rFonts w:ascii="Times New Roman" w:hAnsi="Times New Roman" w:hint="default"/>
          <w:sz w:val="24"/>
          <w:szCs w:val="24"/>
          <w:u w:val="single"/>
          <w:rtl w:val="0"/>
          <w:lang w:val="en-US"/>
        </w:rPr>
        <w:t xml:space="preserve">– </w:t>
      </w:r>
      <w:r>
        <w:rPr>
          <w:rFonts w:ascii="Times New Roman" w:hAnsi="Times New Roman"/>
          <w:sz w:val="24"/>
          <w:szCs w:val="24"/>
          <w:u w:val="single"/>
          <w:rtl w:val="0"/>
          <w:lang w:val="en-US"/>
        </w:rPr>
        <w:t>a species, subspecies or isolated populations of species or subspecies that occur naturally in Florida or that has been reintroduced into its historic range, rather than occurring in Florida as a result of accidental or deliberate introduction by humans.</w:t>
      </w:r>
    </w:p>
    <w:p>
      <w:pPr>
        <w:pStyle w:val="List Paragraph"/>
        <w:numPr>
          <w:ilvl w:val="0"/>
          <w:numId w:val="2"/>
        </w:numPr>
        <w:bidi w:val="0"/>
        <w:ind w:right="0"/>
        <w:jc w:val="left"/>
        <w:rPr>
          <w:rFonts w:ascii="Times New Roman" w:hAnsi="Times New Roman"/>
          <w:sz w:val="24"/>
          <w:szCs w:val="24"/>
          <w:rtl w:val="0"/>
          <w:lang w:val="en-US"/>
        </w:rPr>
      </w:pPr>
      <w:r>
        <w:rPr>
          <w:rFonts w:ascii="Times New Roman" w:hAnsi="Times New Roman"/>
          <w:sz w:val="24"/>
          <w:szCs w:val="24"/>
          <w:u w:val="single"/>
          <w:rtl w:val="0"/>
          <w:lang w:val="en-US"/>
        </w:rPr>
        <w:t xml:space="preserve">Safety entrance </w:t>
      </w:r>
      <w:r>
        <w:rPr>
          <w:rFonts w:ascii="Times New Roman" w:hAnsi="Times New Roman" w:hint="default"/>
          <w:sz w:val="24"/>
          <w:szCs w:val="24"/>
          <w:u w:val="single"/>
          <w:rtl w:val="0"/>
          <w:lang w:val="en-US"/>
        </w:rPr>
        <w:t xml:space="preserve">– </w:t>
      </w:r>
      <w:r>
        <w:rPr>
          <w:rFonts w:ascii="Times New Roman" w:hAnsi="Times New Roman"/>
          <w:sz w:val="24"/>
          <w:szCs w:val="24"/>
          <w:u w:val="single"/>
          <w:rtl w:val="0"/>
          <w:lang w:val="en-US"/>
        </w:rPr>
        <w:t>a double-door mechanism or other comparable device that can be entered by a keeper that prevents animal escape and safeguards the keeper.</w:t>
      </w:r>
    </w:p>
    <w:p>
      <w:pPr>
        <w:pStyle w:val="List Paragraph"/>
        <w:numPr>
          <w:ilvl w:val="0"/>
          <w:numId w:val="2"/>
        </w:numPr>
        <w:bidi w:val="0"/>
        <w:spacing w:after="0"/>
        <w:ind w:right="0"/>
        <w:jc w:val="left"/>
        <w:rPr>
          <w:rFonts w:ascii="Times New Roman" w:hAnsi="Times New Roman"/>
          <w:sz w:val="24"/>
          <w:szCs w:val="24"/>
          <w:rtl w:val="0"/>
          <w:lang w:val="en-US"/>
        </w:rPr>
      </w:pPr>
      <w:r>
        <w:rPr>
          <w:rFonts w:ascii="Times New Roman" w:hAnsi="Times New Roman"/>
          <w:sz w:val="24"/>
          <w:szCs w:val="24"/>
          <w:u w:val="single"/>
          <w:rtl w:val="0"/>
          <w:lang w:val="en-US"/>
        </w:rPr>
        <w:t xml:space="preserve">Sale </w:t>
      </w:r>
      <w:r>
        <w:rPr>
          <w:rFonts w:ascii="Times New Roman" w:hAnsi="Times New Roman" w:hint="default"/>
          <w:sz w:val="24"/>
          <w:szCs w:val="24"/>
          <w:u w:val="single"/>
          <w:rtl w:val="0"/>
          <w:lang w:val="en-US"/>
        </w:rPr>
        <w:t>–</w:t>
      </w:r>
      <w:r>
        <w:rPr>
          <w:rFonts w:ascii="Calibri" w:cs="Calibri" w:hAnsi="Calibri" w:eastAsia="Calibri"/>
          <w:sz w:val="22"/>
          <w:szCs w:val="22"/>
          <w:u w:val="single"/>
          <w:rtl w:val="0"/>
          <w:lang w:val="en-US"/>
        </w:rPr>
        <w:t xml:space="preserve"> </w:t>
      </w:r>
      <w:r>
        <w:rPr>
          <w:rFonts w:ascii="Times New Roman" w:hAnsi="Times New Roman"/>
          <w:sz w:val="24"/>
          <w:szCs w:val="24"/>
          <w:u w:val="single"/>
          <w:rtl w:val="0"/>
          <w:lang w:val="en-US"/>
        </w:rPr>
        <w:t xml:space="preserve">the transfer of property or other things to a buyer for an agreed price. The term shall include all lesser acts related thereto, such as attempting to sell, offering to sell, to barter, exchange, trade, or auction. </w:t>
      </w:r>
    </w:p>
    <w:p>
      <w:pPr>
        <w:pStyle w:val="List Paragraph"/>
        <w:numPr>
          <w:ilvl w:val="0"/>
          <w:numId w:val="2"/>
        </w:numPr>
        <w:bidi w:val="0"/>
        <w:spacing w:after="0"/>
        <w:ind w:right="0"/>
        <w:jc w:val="left"/>
        <w:rPr>
          <w:rFonts w:ascii="Times New Roman" w:hAnsi="Times New Roman"/>
          <w:sz w:val="24"/>
          <w:szCs w:val="24"/>
          <w:rtl w:val="0"/>
          <w:lang w:val="en-US"/>
        </w:rPr>
      </w:pPr>
      <w:r>
        <w:rPr>
          <w:rFonts w:ascii="Times New Roman" w:hAnsi="Times New Roman"/>
          <w:sz w:val="24"/>
          <w:szCs w:val="24"/>
          <w:u w:val="single"/>
          <w:rtl w:val="0"/>
          <w:lang w:val="en-US"/>
        </w:rPr>
        <w:t xml:space="preserve">Supervision </w:t>
      </w:r>
      <w:r>
        <w:rPr>
          <w:rFonts w:ascii="Times New Roman" w:hAnsi="Times New Roman" w:hint="default"/>
          <w:sz w:val="24"/>
          <w:szCs w:val="24"/>
          <w:u w:val="single"/>
          <w:rtl w:val="0"/>
          <w:lang w:val="en-US"/>
        </w:rPr>
        <w:t xml:space="preserve">– </w:t>
      </w:r>
      <w:r>
        <w:rPr>
          <w:rFonts w:ascii="Times New Roman" w:hAnsi="Times New Roman"/>
          <w:sz w:val="24"/>
          <w:szCs w:val="24"/>
          <w:u w:val="single"/>
          <w:rtl w:val="0"/>
          <w:lang w:val="en-US"/>
        </w:rPr>
        <w:t>Regulating and monitoring a process or activity or tasks.</w:t>
      </w:r>
    </w:p>
    <w:sectPr>
      <w:headerReference w:type="default" r:id="rId4"/>
      <w:footerReference w:type="default" r:id="rId5"/>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Calibri">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w:tabs>
        <w:tab w:val="right" w:pos="9340"/>
        <w:tab w:val="clear" w:pos="9360"/>
      </w:tabs>
    </w:pPr>
    <w:r>
      <mc:AlternateContent>
        <mc:Choice Requires="wps">
          <w:drawing>
            <wp:anchor distT="152400" distB="152400" distL="152400" distR="152400" simplePos="0" relativeHeight="251658240" behindDoc="1" locked="0" layoutInCell="1" allowOverlap="1">
              <wp:simplePos x="0" y="0"/>
              <wp:positionH relativeFrom="page">
                <wp:posOffset>893445</wp:posOffset>
              </wp:positionH>
              <wp:positionV relativeFrom="page">
                <wp:posOffset>3832225</wp:posOffset>
              </wp:positionV>
              <wp:extent cx="5985510" cy="2393950"/>
              <wp:effectExtent l="-30169" t="1765612" r="-30169" b="1765612"/>
              <wp:wrapNone/>
              <wp:docPr id="1073741825" name="officeArt object"/>
              <wp:cNvGraphicFramePr/>
              <a:graphic xmlns:a="http://schemas.openxmlformats.org/drawingml/2006/main">
                <a:graphicData uri="http://schemas.microsoft.com/office/word/2010/wordprocessingShape">
                  <wps:wsp>
                    <wps:cNvSpPr/>
                    <wps:spPr>
                      <a:xfrm rot="18900000">
                        <a:off x="0" y="0"/>
                        <a:ext cx="5985510" cy="2393950"/>
                      </a:xfrm>
                      <a:prstGeom prst="rect">
                        <a:avLst/>
                      </a:prstGeom>
                      <a:noFill/>
                      <a:ln w="12700" cap="flat">
                        <a:noFill/>
                        <a:miter lim="400000"/>
                      </a:ln>
                      <a:effectLst/>
                    </wps:spPr>
                    <wps:txbx>
                      <w:txbxContent>
                        <w:p>
                          <w:pPr>
                            <w:pStyle w:val="Caption"/>
                            <w:tabs>
                              <w:tab w:val="left" w:pos="1440"/>
                              <w:tab w:val="left" w:pos="2880"/>
                              <w:tab w:val="left" w:pos="4320"/>
                              <w:tab w:val="left" w:pos="5760"/>
                              <w:tab w:val="left" w:pos="7200"/>
                              <w:tab w:val="left" w:pos="8640"/>
                            </w:tabs>
                          </w:pPr>
                          <w:r>
                            <w:rPr>
                              <w:rFonts w:ascii="Times New Roman" w:hAnsi="Times New Roman"/>
                              <w:color w:val="c0c0c0"/>
                              <w:sz w:val="376"/>
                              <w:szCs w:val="376"/>
                              <w:rtl w:val="0"/>
                              <w:lang w:val="de-DE"/>
                            </w:rPr>
                            <w:t>DRAFT</w:t>
                          </w:r>
                        </w:p>
                      </w:txbxContent>
                    </wps:txbx>
                    <wps:bodyPr wrap="square" lIns="0" tIns="0" rIns="0" bIns="0" numCol="1" anchor="ctr">
                      <a:normAutofit fontScale="100000" lnSpcReduction="0"/>
                    </wps:bodyPr>
                  </wps:wsp>
                </a:graphicData>
              </a:graphic>
            </wp:anchor>
          </w:drawing>
        </mc:Choice>
        <mc:Fallback>
          <w:pict>
            <v:rect id="_x0000_s1026" style="visibility:visible;position:absolute;margin-left:70.4pt;margin-top:301.8pt;width:471.3pt;height:188.5pt;z-index:-251658240;mso-position-horizontal:absolute;mso-position-horizontal-relative:page;mso-position-vertical:absolute;mso-position-vertical-relative:page;mso-wrap-distance-left:12.0pt;mso-wrap-distance-top:12.0pt;mso-wrap-distance-right:12.0pt;mso-wrap-distance-bottom:12.0pt;rotation:20643840fd;">
              <v:fill on="f"/>
              <v:stroke on="f" weight="1.0pt" dashstyle="solid" endcap="flat" miterlimit="400.0%" joinstyle="miter" linestyle="single" startarrow="none" startarrowwidth="medium" startarrowlength="medium" endarrow="none" endarrowwidth="medium" endarrowlength="medium"/>
              <v:textbox>
                <w:txbxContent>
                  <w:p>
                    <w:pPr>
                      <w:pStyle w:val="Caption"/>
                      <w:tabs>
                        <w:tab w:val="left" w:pos="1440"/>
                        <w:tab w:val="left" w:pos="2880"/>
                        <w:tab w:val="left" w:pos="4320"/>
                        <w:tab w:val="left" w:pos="5760"/>
                        <w:tab w:val="left" w:pos="7200"/>
                        <w:tab w:val="left" w:pos="8640"/>
                      </w:tabs>
                    </w:pPr>
                    <w:r>
                      <w:rPr>
                        <w:rFonts w:ascii="Times New Roman" w:hAnsi="Times New Roman"/>
                        <w:color w:val="c0c0c0"/>
                        <w:sz w:val="376"/>
                        <w:szCs w:val="376"/>
                        <w:rtl w:val="0"/>
                        <w:lang w:val="de-DE"/>
                      </w:rPr>
                      <w:t>DRAFT</w:t>
                    </w:r>
                  </w:p>
                </w:txbxContent>
              </v:textbox>
              <w10:wrap type="none" side="bothSides" anchorx="page" anchory="page"/>
            </v:rect>
          </w:pict>
        </mc:Fallback>
      </mc:AlternateContent>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decimal"/>
      <w:suff w:val="nothing"/>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tabs>
          <w:tab w:val="num" w:pos="1080"/>
        </w:tabs>
        <w:ind w:left="1335" w:hanging="615"/>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tabs>
          <w:tab w:val="num" w:pos="1800"/>
        </w:tabs>
        <w:ind w:left="2055" w:hanging="54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tabs>
          <w:tab w:val="num" w:pos="2520"/>
        </w:tabs>
        <w:ind w:left="2775" w:hanging="615"/>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tabs>
          <w:tab w:val="num" w:pos="3240"/>
        </w:tabs>
        <w:ind w:left="3495" w:hanging="615"/>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tabs>
          <w:tab w:val="num" w:pos="3960"/>
        </w:tabs>
        <w:ind w:left="4215" w:hanging="54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tabs>
          <w:tab w:val="num" w:pos="4680"/>
        </w:tabs>
        <w:ind w:left="4935" w:hanging="615"/>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tabs>
          <w:tab w:val="num" w:pos="5400"/>
        </w:tabs>
        <w:ind w:left="5655" w:hanging="615"/>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tabs>
          <w:tab w:val="num" w:pos="6120"/>
        </w:tabs>
        <w:ind w:left="6375" w:hanging="54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w:name w:val="header"/>
    <w:next w:val="header"/>
    <w:pPr>
      <w:keepNext w:val="0"/>
      <w:keepLines w:val="0"/>
      <w:pageBreakBefore w:val="0"/>
      <w:widowControl w:val="1"/>
      <w:shd w:val="clear" w:color="auto" w:fill="auto"/>
      <w:tabs>
        <w:tab w:val="center" w:pos="4680"/>
        <w:tab w:val="right" w:pos="9360"/>
      </w:tabs>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paragraph" w:styleId="Caption">
    <w:name w:val="Caption"/>
    <w:next w:val="Caption"/>
    <w:pPr>
      <w:keepNext w:val="0"/>
      <w:keepLines w:val="0"/>
      <w:pageBreakBefore w:val="0"/>
      <w:widowControl w:val="1"/>
      <w:shd w:val="clear" w:color="auto" w:fill="auto"/>
      <w:suppressAutoHyphens w:val="1"/>
      <w:bidi w:val="0"/>
      <w:spacing w:before="0" w:after="0" w:line="240" w:lineRule="auto"/>
      <w:ind w:left="0" w:right="0" w:firstLine="0"/>
      <w:jc w:val="left"/>
      <w:outlineLvl w:val="0"/>
    </w:pPr>
    <w:rPr>
      <w:rFonts w:ascii="Calibri" w:cs="Calibri" w:hAnsi="Calibri" w:eastAsia="Calibri"/>
      <w:b w:val="0"/>
      <w:bCs w:val="0"/>
      <w:i w:val="0"/>
      <w:iCs w:val="0"/>
      <w:caps w:val="0"/>
      <w:smallCaps w:val="0"/>
      <w:strike w:val="0"/>
      <w:dstrike w:val="0"/>
      <w:outline w:val="0"/>
      <w:color w:val="000000"/>
      <w:spacing w:val="0"/>
      <w:kern w:val="0"/>
      <w:position w:val="0"/>
      <w:sz w:val="36"/>
      <w:szCs w:val="36"/>
      <w:u w:val="none"/>
      <w:vertAlign w:val="baseline"/>
      <w:lang w:val="de-DE"/>
    </w:r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160" w:line="259" w:lineRule="auto"/>
      <w:ind w:left="72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numbering" w:styleId="Imported Style 1">
    <w:name w:val="Imported Style 1"/>
    <w:pPr>
      <w:numPr>
        <w:numId w:val="1"/>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